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782" w:rsidRPr="00765B90" w:rsidRDefault="00853782" w:rsidP="00F81AF1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Phần</w:t>
      </w:r>
      <w:r w:rsidR="00F81AF1"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56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大方廣佛華嚴經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(</w:t>
      </w:r>
      <w:r w:rsidRPr="00765B90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十一）淨行品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giảng: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Không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điểm: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Hiệp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Hội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mồng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2005</w:t>
      </w:r>
    </w:p>
    <w:p w:rsidR="00853782" w:rsidRPr="00765B90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ngữ: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Bửu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Hòa</w:t>
      </w:r>
    </w:p>
    <w:p w:rsidR="00853782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65B90">
        <w:rPr>
          <w:rFonts w:ascii="Times New Roman" w:eastAsia="Times New Roman" w:hAnsi="Times New Roman"/>
          <w:noProof w:val="0"/>
          <w:sz w:val="28"/>
          <w:szCs w:val="28"/>
        </w:rPr>
        <w:t>Giảo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duyệt: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Phong,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765B90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65B90">
        <w:rPr>
          <w:rFonts w:ascii="Times New Roman" w:eastAsia="Times New Roman" w:hAnsi="Times New Roman"/>
          <w:noProof w:val="0"/>
          <w:sz w:val="28"/>
          <w:szCs w:val="28"/>
        </w:rPr>
        <w:t>Tiến</w:t>
      </w:r>
    </w:p>
    <w:p w:rsidR="00F8212E" w:rsidRPr="00F8212E" w:rsidRDefault="00F8212E" w:rsidP="00F8212E">
      <w:pPr>
        <w:spacing w:line="240" w:lineRule="auto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1573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chín:</w:t>
      </w:r>
    </w:p>
    <w:p w:rsidR="00F81AF1" w:rsidRPr="00F81AF1" w:rsidRDefault="00F81AF1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đức,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cụ,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xưng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tận.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讚佛功德。當願眾生。眾德悉具。稱歎無盡。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Khen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khen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ngợi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tận).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miếu,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“Lễ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“Xưng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“quảng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dường”.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“sám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hối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chướng”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hút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“chèo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kéo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chèo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húy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“tự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ty,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nhún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nhường.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[rêu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rao]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ngươi”,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nhún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nhường.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“Ngươi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phỏng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“tự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hủy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“Chỉ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ích,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ích”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nghênh,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nghênh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ngươi”.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“Tôi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chỉ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“tôi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thể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dạy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năm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năm”,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Pr="00F81AF1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1"/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lastRenderedPageBreak/>
        <w:t>“Chớ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khinh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mạn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kẻ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sơ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học,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chớ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nên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;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thất”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sót).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khí”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“tôn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sáo;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友生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友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朋友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chèo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‘chúng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độ’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nhủ]: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xét,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xử]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tỳ-kheo,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mặt.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xì]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“ngươi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bán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nhé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mũi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ngửi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“ngoài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“trong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</w:p>
    <w:p w:rsidR="00853782" w:rsidRPr="00F81AF1" w:rsidRDefault="00F81AF1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“Tán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khúc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xướng,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lật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lướt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bài,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hát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xướng.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thuật,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múa,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tuồng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hát,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nghệ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[chuyện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này],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xem;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quyển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kịch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soạn.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[kịch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bản]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Kịch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(Kinh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Kịch)</w:t>
      </w:r>
      <w:r w:rsidR="00853782" w:rsidRPr="00F81AF1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2"/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="00853782"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歸元鏡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bản.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(đều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Tông),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Kịch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khấu.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Diên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sư.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khấu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diễn.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sử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xuất,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853782" w:rsidRPr="00F81AF1">
        <w:rPr>
          <w:rFonts w:ascii="Times New Roman" w:eastAsia="Times New Roman" w:hAnsi="Times New Roman"/>
          <w:noProof w:val="0"/>
          <w:sz w:val="28"/>
          <w:szCs w:val="28"/>
        </w:rPr>
        <w:t>kinh.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ỏi.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diễn,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“Thưa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phút”.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nhẫn.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liếc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chừng.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buổi.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phút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phiếm,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[pha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dàng!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học].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nghiễm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rưỡi,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thiếu.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phim),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nghênh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Hôm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trang.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Pr="00F81AF1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3"/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hẳn.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nghe],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rãi.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chậm,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phòng,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mịt,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diễn,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kịp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chóng,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chậm,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kịp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chộp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chộp,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chộp.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chộp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cụ,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xưng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cụ”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cụ”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đủ)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thú”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thú).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thú.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“đại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giải”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“minh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minh”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Giáo.</w:t>
      </w:r>
    </w:p>
    <w:p w:rsidR="00F81AF1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“Chớ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học!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bước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trời,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bước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tốt,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công.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rớt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nát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xương!”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trèo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tầng,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trèo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trèo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trèo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hẳn!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trang.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“trước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Thừa,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Thừa”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cóc!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thẳm,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dặm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trang,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lặng,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thầy,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thầy”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ỏi.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[Cực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Lạc]”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về”.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“thấu”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透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rìa,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khăn.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lắm!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ấy]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này].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853782" w:rsidRPr="00F81AF1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**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chín.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hảo,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讚佛相好。當願眾生。成就佛身。證無相法。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Khen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tướng).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quang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khuyến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thắp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dẹp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‘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điệu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’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niệm]”.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[Nhà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vua]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(Vu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Lan),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thẳm,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[dựng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dự]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F81AF1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4"/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điệu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(nạn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cừu.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cấu.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Mậu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Internet.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hại]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nội.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đậm.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nhủ,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xấu.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khuyến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(Stephen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Hawking),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nguồn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(Big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Bang).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(Albert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Einstein)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mỹ,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khuyết,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(Hoắc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rẫm!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hấy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ngữ]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lớn: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1)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引業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chết]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trời?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quỷ?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2)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nghèo,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滿業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</w:p>
    <w:p w:rsidR="00F81AF1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Lũ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mỏng,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khuyết.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trợ;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sướng;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đang]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Ba].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tiễn,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ơi!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tôi”.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dẫu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nữa,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nghe!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dù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hay,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Trị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xoàng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xoàng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thôi,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đảo.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nửa!”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Quán: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chào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đón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đón,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“Mua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đậu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phộng,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kẹo,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đồng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thắng.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60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(1971),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quyển,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riêng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kê.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tặng.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tặng.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ngắm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tợn.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hỏi]: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“Thưa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men.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Úc,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(Toowoomba),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nghèo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ỏi,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men.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hết.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vâng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“niệm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chay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trường”.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vặt,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đẳng,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(nguyện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gặp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!”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hiếm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nay”.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hiếm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ham)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đỉnh,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quyện,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yếm”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Bắc,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gẫu,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“Học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duyệt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“Hữu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uấn,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vẻ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duyên.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thắng!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Internet,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DVD,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thăm.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đến,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sao”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sụt.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“chứng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sung.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1574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chín: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hảo,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讚佛相好。當願眾生。成就佛身。證無相法。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Khen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tướng).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“chứng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huyễn,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bào,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ảnh”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huyễn,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bọt,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bóng).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huyễn,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bọt,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F81AF1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5"/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sát-na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sát-na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sát-na,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sát-na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ngón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(216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00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0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giây,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[hoặc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rốt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ráo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ngằn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mé.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ráo.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Lạc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cấp,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行布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圓融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mỏng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ắ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vững!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A-tăng-kỳ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kéo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dạng;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nặng.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bạch,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đuôi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khẩu,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dặn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Huấn.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thiện.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thể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tịnh”.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khỏe?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hẳn.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thủ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dẫu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nghịch,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nhạt.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hỷ;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trò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lọt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năng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“thiểu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nhược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nhiên”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cấp,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thú.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[bởi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lẽ]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Thừa,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vẻ,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đẹp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gian]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Uyển,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tỳ-kheo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DVD,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cứu,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“thông”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tập]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ròng]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[chuyên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biên.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“lìa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À!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đây!</w:t>
      </w:r>
    </w:p>
    <w:p w:rsidR="00853782" w:rsidRPr="00F81AF1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“ngụ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mị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寤寐安息時願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</w:rPr>
        <w:t>,</w:t>
      </w:r>
      <w:r w:rsidR="00F81AF1" w:rsidRPr="00F81AF1">
        <w:rPr>
          <w:rFonts w:ascii="DFKai-SB" w:eastAsia="DFKai-SB" w:hAnsi="DFKai-SB" w:cs="Calibri" w:hint="eastAsia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nghê,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ngơi).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ngủ.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nhất.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tẩy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lực,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ngại.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F81AF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F81AF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若洗足時。當願眾生。具神足力。所行無礙。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chân,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việc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ngại).</w:t>
      </w:r>
    </w:p>
    <w:p w:rsidR="00AB12CA" w:rsidRPr="00F81AF1" w:rsidRDefault="00AB12CA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[đền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“Tẩy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“cụ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(đủ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phục.</w:t>
      </w:r>
    </w:p>
    <w:p w:rsidR="00F81AF1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法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方法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“môn”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門徑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nẻo).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“ngoài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“Ngoài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“Nam-mô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giằn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(mẹ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“Mẹ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sở”,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Nhĩ.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thông]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đó],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thù,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hiếm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thủy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Hán]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đấy].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Nhĩ.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liệu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Vực]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kỹ,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Vực.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cỏ,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cỏ.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[Trường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xét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ra]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cỏ,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Bút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quê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lòe,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nhìn,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bỗng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cỏ,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dìu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[họ]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thiện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ghét,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hẹp.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ghét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ghét,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phạm,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uy,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son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đỏ,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mực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đen”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vua]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nhở,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vua]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vua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dễ.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hỏi: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kêu,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[thật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chuột,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thằn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lằn,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rắn,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nuôi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gáy,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hôm,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đuổi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“Mọi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đi?”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chùa,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sen.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miệng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trống,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cỏ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gá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thịt,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cỏ,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bẩn,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bụi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bặm,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“Cụ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lực”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túc),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lấp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tựu?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xạ,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cầu]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thụ]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rớt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í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ỏi,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ớt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trừ,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ác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tà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vạy.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hông,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thẹn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kỷ”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mình).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móc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móc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sợ.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đạo.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lỗi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gian”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thẹn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vật,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giống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mực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khuể.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giới?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đổi,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quê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lịch,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phép,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ngắn,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dài!</w:t>
      </w:r>
    </w:p>
    <w:p w:rsidR="00853782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thần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xót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nổi!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xích,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khuể,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dạy.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đối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F81AF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怨懟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nhau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phương,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mình!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phức,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đẹp?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lợi.</w:t>
      </w:r>
    </w:p>
    <w:p w:rsidR="00F81AF1" w:rsidRPr="00F81AF1" w:rsidRDefault="00853782" w:rsidP="00F81AF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F81AF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ngại”.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ngại?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xúc,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nhận.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Chứng,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tiếc!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chỗ</w:t>
      </w:r>
      <w:r w:rsidR="00F81AF1"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F81AF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Pr="00F81AF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853782" w:rsidRPr="00F81AF1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853782" w:rsidRPr="00F81AF1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853782" w:rsidRPr="00F81AF1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853782" w:rsidRPr="00F81AF1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853782" w:rsidRPr="00F81AF1" w:rsidRDefault="00853782" w:rsidP="00F81AF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Phần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56</w:t>
      </w:r>
      <w:r w:rsidR="00F81AF1"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F81AF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hết</w:t>
      </w:r>
    </w:p>
    <w:sectPr w:rsidR="00853782" w:rsidRPr="00F81AF1" w:rsidSect="00981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1695" w:rsidRDefault="00981695">
      <w:pPr>
        <w:spacing w:line="240" w:lineRule="auto"/>
      </w:pPr>
      <w:r>
        <w:separator/>
      </w:r>
    </w:p>
  </w:endnote>
  <w:endnote w:type="continuationSeparator" w:id="0">
    <w:p w:rsidR="00981695" w:rsidRDefault="00981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1695" w:rsidRDefault="00981695">
      <w:pPr>
        <w:spacing w:line="240" w:lineRule="auto"/>
      </w:pPr>
      <w:r>
        <w:separator/>
      </w:r>
    </w:p>
  </w:footnote>
  <w:footnote w:type="continuationSeparator" w:id="0">
    <w:p w:rsidR="00981695" w:rsidRDefault="00981695">
      <w:pPr>
        <w:spacing w:line="240" w:lineRule="auto"/>
      </w:pPr>
      <w:r>
        <w:continuationSeparator/>
      </w:r>
    </w:p>
  </w:footnote>
  <w:footnote w:id="1">
    <w:p w:rsidR="00853782" w:rsidRPr="00853782" w:rsidRDefault="00853782" w:rsidP="0085378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="00F81AF1"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</w:t>
      </w:r>
      <w:r w:rsidRPr="00853782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別駕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)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quan,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Tùng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Tùng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Sứ,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phụ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(người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đứng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đầu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châu).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xử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vụ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hay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phủ.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Đến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Tùy,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bỏ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quận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chỉ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giữ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châu,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Trưởng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Đến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Quận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Thừa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đổi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thành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Trải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nhiều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lần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canh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cải,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lúc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phế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hẳn,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về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sau,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vẫn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quen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vụ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Thông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Giá.</w:t>
      </w:r>
    </w:p>
  </w:footnote>
  <w:footnote w:id="2">
    <w:p w:rsidR="00853782" w:rsidRPr="00853782" w:rsidRDefault="00853782" w:rsidP="0085378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="00F81AF1"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Bình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Kịch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Quốc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Kịch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Kịch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tuồng,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gần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giống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bội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Nam.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tuồng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xuất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Bắc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(thời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đầu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Dân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Quốc,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Bắc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Bắc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Bình,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nên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Kịch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Bình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Kịch).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Thể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dung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hợp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hai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tuồng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trước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đó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Kịch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Huy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Kịch,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đồng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nhập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nhiều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thống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phương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Nam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Côn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Khúc,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Bang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Tử,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Tần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Xoang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v.v…</w:t>
      </w:r>
    </w:p>
  </w:footnote>
  <w:footnote w:id="3">
    <w:p w:rsidR="00853782" w:rsidRPr="00F81AF1" w:rsidRDefault="00853782" w:rsidP="00853782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>
        <w:rPr>
          <w:rStyle w:val="FootnoteReference"/>
        </w:rPr>
        <w:footnoteRef/>
      </w:r>
      <w:r w:rsidR="00F81AF1"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Phạm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</w:t>
      </w:r>
      <w:r w:rsidRPr="00853782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梵唄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)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xướng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đặc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thù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Phật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Bắc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ruyền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nhằm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diễn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xướng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mục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đích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tạo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nghiêm,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dấy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khởi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cảm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trân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trọng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thính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chúng.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Hàm,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Phạm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phải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hội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đủ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năm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đặc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tánh:</w:t>
      </w:r>
    </w:p>
    <w:p w:rsidR="00853782" w:rsidRPr="00F81AF1" w:rsidRDefault="00853782" w:rsidP="00853782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1)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thanh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chánh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đáng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(không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ủy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mị,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rên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xiết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uốn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éo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)</w:t>
      </w:r>
    </w:p>
    <w:p w:rsidR="00853782" w:rsidRPr="00F81AF1" w:rsidRDefault="00853782" w:rsidP="00853782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2)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điệu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hòa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nhã</w:t>
      </w:r>
    </w:p>
    <w:p w:rsidR="00853782" w:rsidRPr="00F81AF1" w:rsidRDefault="00853782" w:rsidP="00853782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3)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rõ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ràng</w:t>
      </w:r>
    </w:p>
    <w:p w:rsidR="00853782" w:rsidRPr="00F81AF1" w:rsidRDefault="00853782" w:rsidP="00853782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4)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lượng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sâu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lắng,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sung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mãn</w:t>
      </w:r>
    </w:p>
    <w:p w:rsidR="00853782" w:rsidRPr="00F81AF1" w:rsidRDefault="00853782" w:rsidP="00853782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5)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Vang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vọng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khắp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gần.</w:t>
      </w:r>
    </w:p>
    <w:p w:rsidR="00853782" w:rsidRPr="00853782" w:rsidRDefault="00853782" w:rsidP="00853782">
      <w:pPr>
        <w:pStyle w:val="FootnoteText"/>
        <w:jc w:val="both"/>
        <w:rPr>
          <w:lang w:val="en-US"/>
        </w:rPr>
      </w:pP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Phạm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thanh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tịnh,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vậy,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Phạm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thể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hiểu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giản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xướng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nghiêm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thanh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tịnh.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Hoa,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tổ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đã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kết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hợp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thống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xướng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Ấn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Độ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đặc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thù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để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tạo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thành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Phạm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Bái,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đặc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kết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hợp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nhạc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khí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chủ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yếu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chuông,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mõ,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trống,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tang,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thanh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la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chập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chõa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v.v…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Đôi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còn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thêm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dàn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nhạc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gồm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sáo,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đàn,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kèn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tỏa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na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vân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la,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sênh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v.v…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trong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dàn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nhạc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Phạm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Ngũ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Đài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Sơn.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bài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bài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thơ,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kệ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đọng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ý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nghĩa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Đối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mỗi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bài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chuyển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giọng,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nhịp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riêng.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Đài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hai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thể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Phạm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Bái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Cổ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Điệu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Hải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Triều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Cổ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Điệu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tụng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độ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nhanh,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thanh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gần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dính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nhau,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không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trọng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Hải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Triều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Hải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Triều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chậm,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ngân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nga,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sâu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lắng,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dụng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nhiếp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hóa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mạnh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mẽ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Cổ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.</w:t>
      </w:r>
    </w:p>
  </w:footnote>
  <w:footnote w:id="4">
    <w:p w:rsidR="00853782" w:rsidRPr="00853782" w:rsidRDefault="00853782" w:rsidP="0085378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="00F81AF1"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Cuộc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biến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Lộc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cầm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đầu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nên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Loạn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Lộc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Đột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Quyết,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phong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Tiết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Độ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Sứ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cả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trấn,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oai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quyền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rất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lớn.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cũng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Đột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Quyết,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thân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Lộc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nhỏ.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Chính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đã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khuyên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An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Lộc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Sơn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phản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suy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yếu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do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Minh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Hoàng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đắm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chìm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tửu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sắc,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say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mê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Dương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Quý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Phi,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bỏ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mặc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triều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chánh.</w:t>
      </w:r>
    </w:p>
  </w:footnote>
  <w:footnote w:id="5">
    <w:p w:rsidR="00853782" w:rsidRPr="00853782" w:rsidRDefault="00853782" w:rsidP="0085378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="00F81AF1"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Sáu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pháp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không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trạch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trạch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bất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động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vi,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thọ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tưởng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diệt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Chân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vô</w:t>
      </w:r>
      <w:r w:rsidR="00F81AF1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853782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A2F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33905"/>
    <w:multiLevelType w:val="hybridMultilevel"/>
    <w:tmpl w:val="45925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965574">
    <w:abstractNumId w:val="0"/>
  </w:num>
  <w:num w:numId="2" w16cid:durableId="143806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6"/>
    <w:rsid w:val="0004511D"/>
    <w:rsid w:val="0009103D"/>
    <w:rsid w:val="00176E36"/>
    <w:rsid w:val="001F5C9B"/>
    <w:rsid w:val="002D036B"/>
    <w:rsid w:val="00373786"/>
    <w:rsid w:val="005D7CD5"/>
    <w:rsid w:val="005F1CB0"/>
    <w:rsid w:val="006127A1"/>
    <w:rsid w:val="006272D1"/>
    <w:rsid w:val="0066152B"/>
    <w:rsid w:val="00693436"/>
    <w:rsid w:val="00765B90"/>
    <w:rsid w:val="007809E7"/>
    <w:rsid w:val="007E71F4"/>
    <w:rsid w:val="00853782"/>
    <w:rsid w:val="008C5A2A"/>
    <w:rsid w:val="0097746E"/>
    <w:rsid w:val="00981695"/>
    <w:rsid w:val="00AB12CA"/>
    <w:rsid w:val="00B35E00"/>
    <w:rsid w:val="00BA4188"/>
    <w:rsid w:val="00BD3B9B"/>
    <w:rsid w:val="00BF3E5D"/>
    <w:rsid w:val="00CB439B"/>
    <w:rsid w:val="00CF56D8"/>
    <w:rsid w:val="00D1119C"/>
    <w:rsid w:val="00D20F65"/>
    <w:rsid w:val="00F81AF1"/>
    <w:rsid w:val="00F8212E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9620BFC-6B92-4602-AFEC-594CE77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5F1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tgc">
    <w:name w:val="_tgc"/>
  </w:style>
  <w:style w:type="character" w:customStyle="1" w:styleId="st1">
    <w:name w:val="st1"/>
    <w:basedOn w:val="DefaultParagraphFont"/>
    <w:rsid w:val="00CB439B"/>
  </w:style>
  <w:style w:type="character" w:styleId="Hyperlink">
    <w:name w:val="Hyperlink"/>
    <w:uiPriority w:val="99"/>
    <w:unhideWhenUsed/>
    <w:rsid w:val="00CB43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439B"/>
    <w:rPr>
      <w:color w:val="800080"/>
      <w:u w:val="single"/>
    </w:rPr>
  </w:style>
  <w:style w:type="character" w:styleId="Emphasis">
    <w:name w:val="Emphasis"/>
    <w:uiPriority w:val="20"/>
    <w:qFormat/>
    <w:rsid w:val="00CF56D8"/>
    <w:rPr>
      <w:i/>
      <w:iCs/>
    </w:rPr>
  </w:style>
  <w:style w:type="character" w:customStyle="1" w:styleId="Heading1Char">
    <w:name w:val="Heading 1 Char"/>
    <w:link w:val="Heading1"/>
    <w:uiPriority w:val="9"/>
    <w:rsid w:val="005F1CB0"/>
    <w:rPr>
      <w:rFonts w:ascii="Times New Roman" w:eastAsia="Times New Roman" w:hAnsi="Times New Roman" w:cs="Times New Roman"/>
      <w:b/>
      <w:bCs/>
      <w:noProof/>
      <w:color w:val="333333"/>
      <w:kern w:val="36"/>
      <w:sz w:val="48"/>
      <w:szCs w:val="48"/>
      <w:lang w:val="vi-VN"/>
    </w:rPr>
  </w:style>
  <w:style w:type="character" w:customStyle="1" w:styleId="watch-title">
    <w:name w:val="watch-title"/>
    <w:rsid w:val="005F1CB0"/>
    <w:rPr>
      <w:sz w:val="24"/>
      <w:szCs w:val="24"/>
    </w:rPr>
  </w:style>
  <w:style w:type="character" w:customStyle="1" w:styleId="titletitle">
    <w:name w:val="title_title"/>
    <w:rsid w:val="005F1CB0"/>
  </w:style>
  <w:style w:type="character" w:customStyle="1" w:styleId="unicode">
    <w:name w:val="unicode"/>
    <w:rsid w:val="005F1CB0"/>
  </w:style>
  <w:style w:type="character" w:styleId="BookTitle">
    <w:name w:val="Book Title"/>
    <w:uiPriority w:val="33"/>
    <w:qFormat/>
    <w:rsid w:val="005F1CB0"/>
    <w:rPr>
      <w:b/>
      <w:bCs/>
      <w:i/>
      <w:iC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1CB0"/>
    <w:pPr>
      <w:suppressAutoHyphens/>
      <w:spacing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EndnoteTextChar">
    <w:name w:val="Endnote Text Char"/>
    <w:link w:val="EndnoteText"/>
    <w:uiPriority w:val="99"/>
    <w:semiHidden/>
    <w:rsid w:val="005F1CB0"/>
    <w:rPr>
      <w:rFonts w:ascii="Times New Roman" w:eastAsia="SimSun" w:hAnsi="Times New Roman" w:cs="Times New Roman"/>
      <w:noProof/>
      <w:lang w:val="vi-VN" w:eastAsia="zh-CN"/>
    </w:rPr>
  </w:style>
  <w:style w:type="character" w:styleId="EndnoteReference">
    <w:name w:val="endnote reference"/>
    <w:uiPriority w:val="99"/>
    <w:semiHidden/>
    <w:unhideWhenUsed/>
    <w:rsid w:val="005F1CB0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5F1CB0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F1CB0"/>
    <w:rPr>
      <w:rFonts w:cs="Times New Roman"/>
      <w:i/>
      <w:iCs/>
      <w:noProof/>
      <w:color w:val="404040"/>
      <w:sz w:val="22"/>
      <w:szCs w:val="22"/>
      <w:lang w:val="vi-VN"/>
    </w:rPr>
  </w:style>
  <w:style w:type="character" w:customStyle="1" w:styleId="auto-style1">
    <w:name w:val="auto-style1"/>
    <w:rsid w:val="005F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15696</Words>
  <Characters>89473</Characters>
  <Application>Microsoft Office Word</Application>
  <DocSecurity>0</DocSecurity>
  <Lines>745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